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43" w:rsidRDefault="00581A43">
      <w:pPr>
        <w:pStyle w:val="Pealkiri"/>
        <w:rPr>
          <w:rFonts w:ascii="Times New Roman" w:hAnsi="Times New Roman" w:cs="Times New Roman"/>
        </w:rPr>
      </w:pPr>
      <w:r>
        <w:rPr>
          <w:rFonts w:ascii="Times New Roman" w:hAnsi="Times New Roman" w:cs="Times New Roman"/>
        </w:rPr>
        <w:t>Lühiülevaade Narva-Jõesuu linna 2020. aasta eelarvest</w:t>
      </w:r>
      <w:bookmarkStart w:id="0" w:name="_GoBack"/>
      <w:bookmarkEnd w:id="0"/>
    </w:p>
    <w:p w:rsidR="00581A43" w:rsidRDefault="00581A43">
      <w:pPr>
        <w:pStyle w:val="Pealkiri"/>
        <w:jc w:val="both"/>
        <w:rPr>
          <w:rFonts w:ascii="Times New Roman" w:hAnsi="Times New Roman" w:cs="Times New Roman"/>
        </w:rPr>
      </w:pPr>
      <w:r>
        <w:rPr>
          <w:rFonts w:ascii="Times New Roman" w:hAnsi="Times New Roman" w:cs="Times New Roman"/>
        </w:rPr>
        <w:t>2020. aastaks on linnal 3 prioriteeti:</w:t>
      </w:r>
    </w:p>
    <w:p w:rsidR="00581A43" w:rsidRDefault="00581A43">
      <w:pPr>
        <w:numPr>
          <w:ilvl w:val="0"/>
          <w:numId w:val="5"/>
        </w:numPr>
        <w:rPr>
          <w:rFonts w:ascii="Times New Roman" w:hAnsi="Times New Roman" w:cs="Times New Roman"/>
        </w:rPr>
      </w:pPr>
      <w:r>
        <w:rPr>
          <w:rFonts w:ascii="Times New Roman" w:hAnsi="Times New Roman" w:cs="Times New Roman"/>
          <w:b/>
          <w:bCs/>
        </w:rPr>
        <w:t xml:space="preserve">Linna infrastruktuuri arendamine :  </w:t>
      </w:r>
      <w:r>
        <w:rPr>
          <w:rFonts w:ascii="Times New Roman" w:hAnsi="Times New Roman" w:cs="Times New Roman"/>
        </w:rPr>
        <w:t xml:space="preserve">    </w:t>
      </w:r>
    </w:p>
    <w:p w:rsidR="00581A43" w:rsidRDefault="00581A43">
      <w:pPr>
        <w:ind w:left="720" w:hanging="360"/>
        <w:rPr>
          <w:rFonts w:ascii="Times New Roman" w:hAnsi="Times New Roman" w:cs="Times New Roman"/>
        </w:rPr>
      </w:pPr>
      <w:r>
        <w:rPr>
          <w:rFonts w:ascii="Times New Roman" w:hAnsi="Times New Roman" w:cs="Times New Roman"/>
        </w:rPr>
        <w:t>-   muuli ehitusprojekti koostamine;</w:t>
      </w:r>
    </w:p>
    <w:p w:rsidR="00581A43" w:rsidRDefault="00581A43">
      <w:pPr>
        <w:rPr>
          <w:rFonts w:ascii="Times New Roman" w:hAnsi="Times New Roman" w:cs="Times New Roman"/>
        </w:rPr>
      </w:pPr>
      <w:r>
        <w:rPr>
          <w:rFonts w:ascii="Times New Roman" w:hAnsi="Times New Roman" w:cs="Times New Roman"/>
        </w:rPr>
        <w:t xml:space="preserve">          -   teede remont;</w:t>
      </w:r>
    </w:p>
    <w:p w:rsidR="00581A43" w:rsidRDefault="00581A43">
      <w:pPr>
        <w:rPr>
          <w:rFonts w:ascii="Times New Roman" w:hAnsi="Times New Roman" w:cs="Times New Roman"/>
        </w:rPr>
      </w:pPr>
      <w:r>
        <w:rPr>
          <w:rFonts w:ascii="Times New Roman" w:hAnsi="Times New Roman" w:cs="Times New Roman"/>
        </w:rPr>
        <w:t xml:space="preserve">          -  </w:t>
      </w:r>
      <w:r>
        <w:rPr>
          <w:rFonts w:ascii="Times New Roman" w:hAnsi="Times New Roman" w:cs="Times New Roman"/>
          <w:color w:val="000000"/>
        </w:rPr>
        <w:t>valgustuse postide ja valgustite paigaldamine;</w:t>
      </w:r>
    </w:p>
    <w:p w:rsidR="00581A43" w:rsidRDefault="00581A43">
      <w:pPr>
        <w:rPr>
          <w:rFonts w:ascii="Times New Roman" w:hAnsi="Times New Roman" w:cs="Times New Roman"/>
        </w:rPr>
      </w:pPr>
      <w:r>
        <w:rPr>
          <w:rFonts w:ascii="Times New Roman" w:hAnsi="Times New Roman" w:cs="Times New Roman"/>
        </w:rPr>
        <w:t xml:space="preserve">          -  </w:t>
      </w:r>
      <w:r>
        <w:rPr>
          <w:rFonts w:ascii="Times New Roman" w:hAnsi="Times New Roman" w:cs="Times New Roman"/>
          <w:color w:val="000000"/>
        </w:rPr>
        <w:t>Narva-Jõesuu linnas Kalda tn 32, 32a, 36 ja 38 kinnistute detailplaneeringu koostamine.</w:t>
      </w:r>
    </w:p>
    <w:p w:rsidR="00581A43" w:rsidRDefault="00581A43">
      <w:pPr>
        <w:numPr>
          <w:ilvl w:val="0"/>
          <w:numId w:val="6"/>
        </w:numPr>
        <w:rPr>
          <w:rFonts w:ascii="Times New Roman" w:hAnsi="Times New Roman" w:cs="Times New Roman"/>
        </w:rPr>
      </w:pPr>
      <w:r>
        <w:rPr>
          <w:rFonts w:ascii="Times New Roman" w:hAnsi="Times New Roman" w:cs="Times New Roman"/>
          <w:b/>
          <w:bCs/>
        </w:rPr>
        <w:t>Puhkekohtade loomine:</w:t>
      </w:r>
    </w:p>
    <w:p w:rsidR="00581A43" w:rsidRDefault="00581A43">
      <w:pPr>
        <w:numPr>
          <w:ilvl w:val="0"/>
          <w:numId w:val="10"/>
        </w:numPr>
        <w:rPr>
          <w:rFonts w:ascii="Times New Roman" w:hAnsi="Times New Roman" w:cs="Times New Roman"/>
          <w:color w:val="000000"/>
        </w:rPr>
      </w:pPr>
      <w:r>
        <w:rPr>
          <w:rFonts w:ascii="Times New Roman" w:hAnsi="Times New Roman" w:cs="Times New Roman"/>
          <w:color w:val="000000"/>
        </w:rPr>
        <w:t>Multifunktsionaalsete minispordiväljakute ehitamine;</w:t>
      </w:r>
    </w:p>
    <w:p w:rsidR="00581A43" w:rsidRDefault="00581A43">
      <w:pPr>
        <w:numPr>
          <w:ilvl w:val="0"/>
          <w:numId w:val="10"/>
        </w:numPr>
        <w:rPr>
          <w:rFonts w:ascii="Times New Roman" w:hAnsi="Times New Roman" w:cs="Times New Roman"/>
        </w:rPr>
      </w:pPr>
      <w:r>
        <w:rPr>
          <w:rFonts w:ascii="Times New Roman" w:hAnsi="Times New Roman" w:cs="Times New Roman"/>
          <w:color w:val="000000"/>
        </w:rPr>
        <w:t>Sillamäe-Sinimäe terviseradade korrastamine;</w:t>
      </w:r>
    </w:p>
    <w:p w:rsidR="00581A43" w:rsidRDefault="00581A43">
      <w:pPr>
        <w:numPr>
          <w:ilvl w:val="0"/>
          <w:numId w:val="10"/>
        </w:numPr>
        <w:rPr>
          <w:rFonts w:ascii="Times New Roman" w:hAnsi="Times New Roman" w:cs="Times New Roman"/>
        </w:rPr>
      </w:pPr>
      <w:r>
        <w:rPr>
          <w:rFonts w:ascii="Times New Roman" w:hAnsi="Times New Roman" w:cs="Times New Roman"/>
          <w:color w:val="000000"/>
        </w:rPr>
        <w:t>Sinimäe torni projekteerimine.</w:t>
      </w:r>
    </w:p>
    <w:p w:rsidR="00581A43" w:rsidRDefault="00581A43">
      <w:pPr>
        <w:numPr>
          <w:ilvl w:val="0"/>
          <w:numId w:val="6"/>
        </w:numPr>
        <w:rPr>
          <w:rFonts w:ascii="Times New Roman" w:hAnsi="Times New Roman" w:cs="Times New Roman"/>
        </w:rPr>
      </w:pPr>
      <w:r>
        <w:rPr>
          <w:rFonts w:ascii="Times New Roman" w:hAnsi="Times New Roman" w:cs="Times New Roman"/>
          <w:b/>
          <w:bCs/>
        </w:rPr>
        <w:t xml:space="preserve">Jätkusuutlik eelarvepositsioon </w:t>
      </w:r>
      <w:r>
        <w:rPr>
          <w:rFonts w:ascii="Times New Roman" w:hAnsi="Times New Roman" w:cs="Times New Roman"/>
        </w:rPr>
        <w:t>- põhitegevuse tuludega kaetakse ära põhitegevuse kulud ning kindlasti ka laenude tagasimaksed ja intressikulud. Pikaajalised laenud võetakse  ainult investeeringuteks, mitte jooksvate kulude katteks. Aasta lõpu seisuga ei plaanita ületada netovõlakoormus lubatud ülempiiri.</w:t>
      </w:r>
    </w:p>
    <w:p w:rsidR="00581A43" w:rsidRDefault="00581A43">
      <w:pPr>
        <w:pStyle w:val="Heading2"/>
        <w:rPr>
          <w:rFonts w:ascii="Times New Roman" w:hAnsi="Times New Roman" w:cs="Times New Roman"/>
        </w:rPr>
      </w:pPr>
      <w:r>
        <w:rPr>
          <w:rFonts w:ascii="Times New Roman" w:hAnsi="Times New Roman" w:cs="Times New Roman"/>
        </w:rPr>
        <w:t xml:space="preserve">Põhitegevuse tulud </w:t>
      </w:r>
    </w:p>
    <w:p w:rsidR="00581A43" w:rsidRDefault="00581A43">
      <w:pPr>
        <w:pStyle w:val="Joonis"/>
        <w:rPr>
          <w:rFonts w:ascii="Times New Roman" w:hAnsi="Times New Roman" w:cs="Times New Roman"/>
          <w:b w:val="0"/>
          <w:bCs w:val="0"/>
        </w:rPr>
      </w:pPr>
      <w:r>
        <w:rPr>
          <w:rFonts w:ascii="Times New Roman" w:hAnsi="Times New Roman" w:cs="Times New Roman"/>
        </w:rPr>
        <w:t xml:space="preserve">2020. aasta eelarves on planeeritud tulud 7912,0 tuh eurot. See on 5 % rohkem kui 2018. aastal. </w:t>
      </w:r>
    </w:p>
    <w:p w:rsidR="00581A43" w:rsidRDefault="00581A43">
      <w:pPr>
        <w:numPr>
          <w:ilvl w:val="0"/>
          <w:numId w:val="2"/>
        </w:numPr>
        <w:jc w:val="both"/>
        <w:rPr>
          <w:rFonts w:ascii="Times New Roman" w:hAnsi="Times New Roman" w:cs="Times New Roman"/>
        </w:rPr>
      </w:pPr>
      <w:r>
        <w:rPr>
          <w:rFonts w:ascii="Times New Roman" w:hAnsi="Times New Roman" w:cs="Times New Roman"/>
        </w:rPr>
        <w:t>Eelarve tuludest 37,0 % ehk 2935,0 tuh eurot moodustab tulumaks (võrreldes eelmise aastaga kasv  +2,1%).</w:t>
      </w:r>
    </w:p>
    <w:p w:rsidR="00581A43" w:rsidRDefault="00581A43">
      <w:pPr>
        <w:pStyle w:val="ListParagraph"/>
        <w:numPr>
          <w:ilvl w:val="0"/>
          <w:numId w:val="2"/>
        </w:numPr>
        <w:jc w:val="both"/>
        <w:rPr>
          <w:rFonts w:ascii="Times New Roman" w:hAnsi="Times New Roman" w:cs="Times New Roman"/>
          <w:color w:val="000000"/>
          <w:sz w:val="20"/>
          <w:szCs w:val="20"/>
        </w:rPr>
      </w:pPr>
      <w:r>
        <w:rPr>
          <w:rFonts w:ascii="Times New Roman" w:hAnsi="Times New Roman" w:cs="Times New Roman"/>
          <w:sz w:val="20"/>
          <w:szCs w:val="20"/>
        </w:rPr>
        <w:t xml:space="preserve">Kaupade ja teenuste müügist kogutakse eelarvesse 6% ehk 496,0 tuh eurot (-2%). </w:t>
      </w:r>
    </w:p>
    <w:p w:rsidR="00581A43" w:rsidRDefault="00581A43">
      <w:pPr>
        <w:numPr>
          <w:ilvl w:val="0"/>
          <w:numId w:val="2"/>
        </w:numPr>
        <w:tabs>
          <w:tab w:val="left" w:pos="0"/>
        </w:tabs>
        <w:spacing w:after="0" w:line="240" w:lineRule="auto"/>
        <w:jc w:val="both"/>
        <w:rPr>
          <w:rFonts w:ascii="Times New Roman" w:hAnsi="Times New Roman" w:cs="Times New Roman"/>
          <w:color w:val="000000"/>
        </w:rPr>
      </w:pPr>
      <w:r>
        <w:rPr>
          <w:rFonts w:ascii="Times New Roman" w:hAnsi="Times New Roman" w:cs="Times New Roman"/>
        </w:rPr>
        <w:t xml:space="preserve">Saadud toetused moodustavad eelarve tuludest 30,9%, ulatudes 2444,0 tuh euroni (-13%). Tasandusfond vähenes 2,0 % võrra. Põhjuseks on demograafilise struktuuri muutumineToetusfond langes 4 % võrra.  2020. a jätkub arvestusliku kuluvajaduse parameetrite omavaheliste osakaalude korrigeerimine. </w:t>
      </w:r>
    </w:p>
    <w:p w:rsidR="00581A43" w:rsidRDefault="00581A43">
      <w:pPr>
        <w:pStyle w:val="BodyText"/>
        <w:numPr>
          <w:ilvl w:val="0"/>
          <w:numId w:val="2"/>
        </w:numPr>
        <w:rPr>
          <w:rFonts w:ascii="Times New Roman" w:hAnsi="Times New Roman" w:cs="Times New Roman"/>
          <w:color w:val="000000"/>
        </w:rPr>
      </w:pPr>
      <w:r>
        <w:rPr>
          <w:rFonts w:ascii="Times New Roman" w:hAnsi="Times New Roman" w:cs="Times New Roman"/>
          <w:color w:val="000000"/>
        </w:rPr>
        <w:t>Muud tulud ( keskkonnatasud, trahvid jms) moodustavad eelarve tuludest 20,6% ehk 1636,0 tuh eurot.</w:t>
      </w:r>
    </w:p>
    <w:p w:rsidR="00581A43" w:rsidRDefault="00581A43">
      <w:pPr>
        <w:pStyle w:val="Pealkiri"/>
        <w:jc w:val="both"/>
        <w:rPr>
          <w:rFonts w:ascii="Times New Roman" w:hAnsi="Times New Roman" w:cs="Times New Roman"/>
        </w:rPr>
      </w:pPr>
      <w:r>
        <w:rPr>
          <w:rFonts w:ascii="Times New Roman" w:hAnsi="Times New Roman" w:cs="Times New Roman"/>
        </w:rPr>
        <w:t>Põhitegevuse kulud</w:t>
      </w:r>
    </w:p>
    <w:p w:rsidR="00581A43" w:rsidRDefault="00581A43">
      <w:pPr>
        <w:pStyle w:val="BodyText2"/>
        <w:rPr>
          <w:rFonts w:ascii="Times New Roman" w:hAnsi="Times New Roman" w:cs="Times New Roman"/>
        </w:rPr>
      </w:pPr>
      <w:r>
        <w:rPr>
          <w:rFonts w:ascii="Times New Roman" w:hAnsi="Times New Roman" w:cs="Times New Roman"/>
        </w:rPr>
        <w:t xml:space="preserve">2020. aasta eelarves on planeeritud põhitegevuse kulud 7580,0 tuh eurot. See on 627,0 tuh eurot ehk 9% enam kui 2019. aasta eelarve täitmine. </w:t>
      </w:r>
    </w:p>
    <w:p w:rsidR="00581A43" w:rsidRDefault="00581A43">
      <w:pPr>
        <w:spacing w:line="240" w:lineRule="auto"/>
        <w:jc w:val="both"/>
        <w:rPr>
          <w:rFonts w:ascii="Times New Roman" w:hAnsi="Times New Roman" w:cs="Times New Roman"/>
          <w:sz w:val="20"/>
          <w:szCs w:val="20"/>
        </w:rPr>
      </w:pPr>
      <w:r>
        <w:rPr>
          <w:rFonts w:ascii="Times New Roman" w:hAnsi="Times New Roman" w:cs="Times New Roman"/>
          <w:sz w:val="20"/>
          <w:szCs w:val="20"/>
        </w:rPr>
        <w:t>Põhitegevuse kulud jaotuvad peamiselt viie objekti vahel järgmiselt:</w:t>
      </w:r>
    </w:p>
    <w:p w:rsidR="00581A43" w:rsidRDefault="00581A43">
      <w:pPr>
        <w:numPr>
          <w:ilvl w:val="0"/>
          <w:numId w:val="3"/>
        </w:numPr>
        <w:spacing w:line="240" w:lineRule="auto"/>
        <w:jc w:val="both"/>
        <w:rPr>
          <w:rFonts w:ascii="Times New Roman" w:hAnsi="Times New Roman" w:cs="Times New Roman"/>
          <w:sz w:val="20"/>
          <w:szCs w:val="20"/>
        </w:rPr>
      </w:pPr>
      <w:r>
        <w:rPr>
          <w:rFonts w:ascii="Times New Roman" w:hAnsi="Times New Roman" w:cs="Times New Roman"/>
          <w:b/>
          <w:bCs/>
          <w:sz w:val="20"/>
          <w:szCs w:val="20"/>
        </w:rPr>
        <w:t>Haridusele, s.h. 2 lasteaeda, 2 põhikooli, Laste Muusika-ja Kunstikool</w:t>
      </w:r>
      <w:r>
        <w:rPr>
          <w:rFonts w:ascii="Times New Roman" w:hAnsi="Times New Roman" w:cs="Times New Roman"/>
          <w:sz w:val="20"/>
          <w:szCs w:val="20"/>
        </w:rPr>
        <w:t xml:space="preserve"> kulub 40,9% ehk 3102,0 tuh eurot ülalpidamiseks, kus toimub kasv +5,1%. Personalikulud suurenevad 1947,0 tuh euroni (+4,6 %) seoses abitöötajate, muusikakooli õpetajate, kooliõpetajate ja lasteaiaõpetajate palgatõusuga.  Majandamiskulud suurenevad 1145,0 tuh euroni (+5,2%). Põhjuseks on laste õpetamise kulude kasvuga teistes omavalitsustes, mis on seotud Vabariigi Valitsuse poolt kinnitatud kohamaksumuse piirmäära tõusuga (66,6% õpilastest käib teiste KOVde koolides).  2020.a eraldati  õppekuludele kohaliku omavalitsuse üksustele ja omavalitsusasutustele nende haldusterritooriumil lasteaias käivate alaliselt Narva- Jõesuu linnas elavate laste eest rohkem kui eelmisel aastal ( 47 % lastest käib teiste KOVde lasteaedades).</w:t>
      </w:r>
    </w:p>
    <w:p w:rsidR="00581A43" w:rsidRDefault="00581A43">
      <w:pPr>
        <w:pStyle w:val="ListParagraph"/>
        <w:numPr>
          <w:ilvl w:val="0"/>
          <w:numId w:val="3"/>
        </w:numPr>
        <w:jc w:val="both"/>
        <w:rPr>
          <w:rFonts w:ascii="Times New Roman" w:hAnsi="Times New Roman" w:cs="Times New Roman"/>
        </w:rPr>
      </w:pPr>
      <w:r>
        <w:rPr>
          <w:rFonts w:ascii="Times New Roman" w:hAnsi="Times New Roman" w:cs="Times New Roman"/>
          <w:b/>
          <w:bCs/>
          <w:sz w:val="20"/>
          <w:szCs w:val="20"/>
        </w:rPr>
        <w:t xml:space="preserve">Keskkonnakaitsele ja avalike alade puhastusele </w:t>
      </w:r>
      <w:r>
        <w:rPr>
          <w:rFonts w:ascii="Times New Roman" w:hAnsi="Times New Roman" w:cs="Times New Roman"/>
          <w:sz w:val="20"/>
          <w:szCs w:val="20"/>
        </w:rPr>
        <w:t>kulub 8,3 % ehk 628 tuh eurot (-2,3%);</w:t>
      </w:r>
    </w:p>
    <w:p w:rsidR="00581A43" w:rsidRDefault="00581A43">
      <w:pPr>
        <w:pStyle w:val="ListParagraph"/>
        <w:numPr>
          <w:ilvl w:val="0"/>
          <w:numId w:val="3"/>
        </w:numPr>
        <w:jc w:val="both"/>
        <w:rPr>
          <w:rFonts w:ascii="Times New Roman" w:hAnsi="Times New Roman" w:cs="Times New Roman"/>
          <w:sz w:val="20"/>
          <w:szCs w:val="20"/>
        </w:rPr>
      </w:pPr>
      <w:r>
        <w:rPr>
          <w:rFonts w:ascii="Times New Roman" w:hAnsi="Times New Roman" w:cs="Times New Roman"/>
          <w:b/>
          <w:bCs/>
          <w:sz w:val="20"/>
          <w:szCs w:val="20"/>
        </w:rPr>
        <w:t xml:space="preserve">Kultuurivaldkonnale, s.h. raamatukogule, huvikeskusele ja muuseumidele </w:t>
      </w:r>
      <w:r>
        <w:rPr>
          <w:rFonts w:ascii="Times New Roman" w:hAnsi="Times New Roman" w:cs="Times New Roman"/>
          <w:sz w:val="20"/>
          <w:szCs w:val="20"/>
        </w:rPr>
        <w:t xml:space="preserve">kulub 11,3% ehk 862,0 tuh eurot. See on 2019. aasta tasemel; </w:t>
      </w:r>
    </w:p>
    <w:p w:rsidR="00581A43" w:rsidRDefault="00581A43">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Üldised valitsussektori teenused (v.a. reservfond): </w:t>
      </w:r>
      <w:r>
        <w:rPr>
          <w:rFonts w:ascii="Times New Roman" w:hAnsi="Times New Roman" w:cs="Times New Roman"/>
          <w:sz w:val="20"/>
          <w:szCs w:val="20"/>
        </w:rPr>
        <w:t>13,3 % ehk</w:t>
      </w:r>
      <w:r>
        <w:rPr>
          <w:rFonts w:ascii="Times New Roman" w:hAnsi="Times New Roman" w:cs="Times New Roman"/>
          <w:b/>
          <w:bCs/>
          <w:sz w:val="20"/>
          <w:szCs w:val="20"/>
        </w:rPr>
        <w:t xml:space="preserve"> </w:t>
      </w:r>
      <w:r>
        <w:rPr>
          <w:rFonts w:ascii="Times New Roman" w:hAnsi="Times New Roman" w:cs="Times New Roman"/>
          <w:sz w:val="20"/>
          <w:szCs w:val="20"/>
        </w:rPr>
        <w:t xml:space="preserve"> 1006,0 tuh eurot (+27,7%).</w:t>
      </w:r>
      <w:r>
        <w:rPr>
          <w:rFonts w:ascii="Times New Roman" w:hAnsi="Times New Roman" w:cs="Times New Roman"/>
        </w:rPr>
        <w:t xml:space="preserve"> Majandamiskulud suurenevad seoses pikaajalise üürilepingu sõlmimisega (kaubanduskeskus-büroohoones II korrus antakse Narva-Jõesuu Linnavolikogu ja Narva-Jõesuu Linnavalitsuse kasutusse) uue kodulehe valmistamise planeerimisega, </w:t>
      </w:r>
      <w:r>
        <w:rPr>
          <w:rFonts w:ascii="Times New Roman" w:hAnsi="Times New Roman" w:cs="Times New Roman"/>
          <w:color w:val="000000"/>
        </w:rPr>
        <w:t>töökeskkonna riskianalüüsi koostamisega.</w:t>
      </w:r>
    </w:p>
    <w:p w:rsidR="00581A43" w:rsidRDefault="00581A43">
      <w:pPr>
        <w:pStyle w:val="ListParagraph"/>
        <w:numPr>
          <w:ilvl w:val="0"/>
          <w:numId w:val="3"/>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Sotsiaalne kaitse: </w:t>
      </w:r>
      <w:r>
        <w:rPr>
          <w:rFonts w:ascii="Times New Roman" w:hAnsi="Times New Roman" w:cs="Times New Roman"/>
          <w:sz w:val="20"/>
          <w:szCs w:val="20"/>
        </w:rPr>
        <w:t>kulub 8,5%</w:t>
      </w:r>
      <w:r>
        <w:rPr>
          <w:rFonts w:ascii="Times New Roman" w:hAnsi="Times New Roman" w:cs="Times New Roman"/>
          <w:b/>
          <w:bCs/>
          <w:sz w:val="20"/>
          <w:szCs w:val="20"/>
        </w:rPr>
        <w:t xml:space="preserve"> </w:t>
      </w:r>
      <w:r>
        <w:rPr>
          <w:rFonts w:ascii="Times New Roman" w:hAnsi="Times New Roman" w:cs="Times New Roman"/>
          <w:sz w:val="20"/>
          <w:szCs w:val="20"/>
        </w:rPr>
        <w:t>ehk 643 tuh eurot (+18,6%).  Kulude kasv kompenseerib vanurite ja puudega isikute hooldekodude kohamaksu hinnatõusu ning 2020. aastal suurendati vahendeid</w:t>
      </w:r>
      <w:r>
        <w:rPr>
          <w:rFonts w:ascii="Times New Roman" w:hAnsi="Times New Roman" w:cs="Times New Roman"/>
        </w:rPr>
        <w:t xml:space="preserve"> toetuste väljamaksmiseks ja teenuste osutamiseks;</w:t>
      </w:r>
    </w:p>
    <w:p w:rsidR="00581A43" w:rsidRDefault="00581A43">
      <w:pPr>
        <w:pStyle w:val="ListParagraph"/>
        <w:numPr>
          <w:ilvl w:val="0"/>
          <w:numId w:val="3"/>
        </w:numPr>
        <w:jc w:val="both"/>
        <w:rPr>
          <w:rFonts w:ascii="Times New Roman" w:hAnsi="Times New Roman" w:cs="Times New Roman"/>
          <w:b/>
          <w:bCs/>
          <w:sz w:val="20"/>
          <w:szCs w:val="20"/>
        </w:rPr>
      </w:pPr>
      <w:r>
        <w:rPr>
          <w:rFonts w:ascii="Times New Roman" w:hAnsi="Times New Roman" w:cs="Times New Roman"/>
          <w:b/>
          <w:bCs/>
          <w:sz w:val="20"/>
          <w:szCs w:val="20"/>
        </w:rPr>
        <w:t xml:space="preserve">Muud kulud, </w:t>
      </w:r>
      <w:r>
        <w:rPr>
          <w:rFonts w:ascii="Times New Roman" w:hAnsi="Times New Roman" w:cs="Times New Roman"/>
          <w:sz w:val="20"/>
          <w:szCs w:val="20"/>
        </w:rPr>
        <w:t>mida ei ole võimalik eelpool toodud asutustega otseselt seostada,</w:t>
      </w:r>
      <w:r>
        <w:rPr>
          <w:rFonts w:ascii="Times New Roman" w:hAnsi="Times New Roman" w:cs="Times New Roman"/>
          <w:b/>
          <w:bCs/>
          <w:sz w:val="20"/>
          <w:szCs w:val="20"/>
        </w:rPr>
        <w:t xml:space="preserve"> </w:t>
      </w:r>
      <w:r>
        <w:rPr>
          <w:rFonts w:ascii="Times New Roman" w:hAnsi="Times New Roman" w:cs="Times New Roman"/>
          <w:sz w:val="20"/>
          <w:szCs w:val="20"/>
        </w:rPr>
        <w:t xml:space="preserve">moodustavad 17,7% ehk 1339,0 tuh  eurot. </w:t>
      </w:r>
    </w:p>
    <w:p w:rsidR="00581A43" w:rsidRDefault="00581A43">
      <w:pPr>
        <w:jc w:val="both"/>
        <w:rPr>
          <w:rFonts w:ascii="Times New Roman" w:hAnsi="Times New Roman" w:cs="Times New Roman"/>
          <w:b/>
          <w:bCs/>
          <w:sz w:val="20"/>
          <w:szCs w:val="20"/>
        </w:rPr>
      </w:pPr>
      <w:r>
        <w:rPr>
          <w:rFonts w:ascii="Times New Roman" w:hAnsi="Times New Roman" w:cs="Times New Roman"/>
          <w:sz w:val="20"/>
          <w:szCs w:val="20"/>
        </w:rPr>
        <w:t>Majandamis- ja personalikulud tervikuna moodustavad 91,8% ehk 6958,0 tuh eurot, suurenedes 7,3%. P</w:t>
      </w:r>
      <w:r>
        <w:rPr>
          <w:rFonts w:ascii="Times New Roman" w:hAnsi="Times New Roman" w:cs="Times New Roman"/>
          <w:sz w:val="20"/>
          <w:szCs w:val="20"/>
          <w:lang w:val="en-GB"/>
        </w:rPr>
        <w:t>ersonalikuludeks planeerime 3435 tuh eurot (+4,8 %), sealhulgas 894 tuh eurot ehk 26 % personaalikuludest riigieelarvest ning sihtotstarbelised vahendid.</w:t>
      </w:r>
      <w:r>
        <w:rPr>
          <w:rFonts w:ascii="Times New Roman" w:hAnsi="Times New Roman" w:cs="Times New Roman"/>
          <w:sz w:val="20"/>
          <w:szCs w:val="20"/>
        </w:rPr>
        <w:t xml:space="preserve"> Majandamiskuludeks planeerime 3523 tuh eurot  (+9,8%), sealhulgas 346 tuh eurot ehk 9,8 % majandamiskuludest riigieelarvest ning sihtotstarbelised vahendid. Antavad toetused moodustavad 7,5% ehk 568 eurot. </w:t>
      </w:r>
    </w:p>
    <w:p w:rsidR="00581A43" w:rsidRDefault="00581A43">
      <w:pPr>
        <w:pStyle w:val="Joonis"/>
        <w:rPr>
          <w:rFonts w:ascii="Times New Roman" w:hAnsi="Times New Roman" w:cs="Times New Roman"/>
        </w:rPr>
      </w:pPr>
      <w:r>
        <w:rPr>
          <w:noProof/>
          <w:lang w:eastAsia="et-E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29.95pt;width:573pt;height:354pt;z-index:251658240">
            <v:imagedata r:id="rId7" o:title=""/>
          </v:shape>
        </w:pict>
      </w:r>
      <w:r>
        <w:rPr>
          <w:rFonts w:ascii="Times New Roman" w:hAnsi="Times New Roman" w:cs="Times New Roman"/>
        </w:rPr>
        <w:t>Põhitegevuse kulud asutuste kaupa 2020. aastal võrreldes 2019. aasta eelarve täitmisega (tuhat eurot).</w:t>
      </w:r>
    </w:p>
    <w:p w:rsidR="00581A43" w:rsidRDefault="00581A43">
      <w:pPr>
        <w:pStyle w:val="Joonis"/>
        <w:rPr>
          <w:rFonts w:ascii="Times New Roman" w:hAnsi="Times New Roman" w:cs="Times New Roman"/>
        </w:rPr>
      </w:pPr>
    </w:p>
    <w:p w:rsidR="00581A43" w:rsidRDefault="00581A43">
      <w:pPr>
        <w:pStyle w:val="Joonis"/>
        <w:rPr>
          <w:rFonts w:ascii="Times New Roman" w:hAnsi="Times New Roman" w:cs="Times New Roman"/>
        </w:rPr>
      </w:pPr>
    </w:p>
    <w:p w:rsidR="00581A43" w:rsidRDefault="00581A43">
      <w:pPr>
        <w:pStyle w:val="Joonis"/>
        <w:rPr>
          <w:rFonts w:ascii="Times New Roman" w:hAnsi="Times New Roman" w:cs="Times New Roman"/>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0"/>
          <w:szCs w:val="20"/>
        </w:rPr>
      </w:pPr>
    </w:p>
    <w:p w:rsidR="00581A43" w:rsidRDefault="00581A43">
      <w:pPr>
        <w:jc w:val="both"/>
        <w:rPr>
          <w:rFonts w:ascii="Times New Roman" w:hAnsi="Times New Roman" w:cs="Times New Roman"/>
          <w:b/>
          <w:bCs/>
          <w:sz w:val="24"/>
          <w:szCs w:val="24"/>
        </w:rPr>
      </w:pPr>
      <w:r>
        <w:rPr>
          <w:rFonts w:ascii="Times New Roman" w:hAnsi="Times New Roman" w:cs="Times New Roman"/>
          <w:b/>
          <w:bCs/>
          <w:sz w:val="24"/>
          <w:szCs w:val="24"/>
        </w:rPr>
        <w:t>Investeerimistegevus</w:t>
      </w:r>
    </w:p>
    <w:p w:rsidR="00581A43" w:rsidRDefault="00581A43">
      <w:pPr>
        <w:jc w:val="both"/>
        <w:rPr>
          <w:rFonts w:ascii="Times New Roman" w:hAnsi="Times New Roman" w:cs="Times New Roman"/>
          <w:b/>
          <w:bCs/>
          <w:sz w:val="20"/>
          <w:szCs w:val="20"/>
        </w:rPr>
      </w:pPr>
      <w:r>
        <w:rPr>
          <w:rFonts w:ascii="Times New Roman" w:hAnsi="Times New Roman" w:cs="Times New Roman"/>
          <w:b/>
          <w:bCs/>
          <w:sz w:val="20"/>
          <w:szCs w:val="20"/>
        </w:rPr>
        <w:t xml:space="preserve">2020. aasta eelarves on planeeritud investeeringukulud 1054,0 tuh eurot. See on 84 tuh eurot ehk 8,9% rohkem kui 2019. aasta  eelarve täitmine. </w:t>
      </w:r>
    </w:p>
    <w:p w:rsidR="00581A43" w:rsidRDefault="00581A43">
      <w:pPr>
        <w:jc w:val="both"/>
        <w:rPr>
          <w:rFonts w:ascii="Times New Roman" w:hAnsi="Times New Roman" w:cs="Times New Roman"/>
          <w:b/>
          <w:bCs/>
          <w:sz w:val="20"/>
          <w:szCs w:val="20"/>
        </w:rPr>
      </w:pPr>
      <w:r>
        <w:rPr>
          <w:rFonts w:ascii="Times New Roman" w:hAnsi="Times New Roman" w:cs="Times New Roman"/>
          <w:b/>
          <w:bCs/>
          <w:sz w:val="20"/>
          <w:szCs w:val="20"/>
        </w:rPr>
        <w:t>Investeeringud koosnevad:</w:t>
      </w:r>
    </w:p>
    <w:p w:rsidR="00581A43" w:rsidRDefault="00581A43">
      <w:pPr>
        <w:rPr>
          <w:rFonts w:ascii="Times New Roman" w:hAnsi="Times New Roman" w:cs="Times New Roman"/>
          <w:sz w:val="20"/>
          <w:szCs w:val="20"/>
        </w:rPr>
      </w:pPr>
      <w:r>
        <w:rPr>
          <w:rFonts w:ascii="Times New Roman" w:hAnsi="Times New Roman" w:cs="Times New Roman"/>
          <w:b/>
          <w:bCs/>
          <w:sz w:val="20"/>
          <w:szCs w:val="20"/>
        </w:rPr>
        <w:t>Põhivara soetusest</w:t>
      </w:r>
      <w:r>
        <w:rPr>
          <w:rFonts w:ascii="Times New Roman" w:hAnsi="Times New Roman" w:cs="Times New Roman"/>
          <w:sz w:val="20"/>
          <w:szCs w:val="20"/>
        </w:rPr>
        <w:t xml:space="preserve">, mis moodustab 91% ehk 960 tuh eurot, suurenes 107,8%. </w:t>
      </w:r>
    </w:p>
    <w:p w:rsidR="00581A43" w:rsidRDefault="00581A43">
      <w:pPr>
        <w:pStyle w:val="ListParagraph"/>
        <w:numPr>
          <w:ilvl w:val="1"/>
          <w:numId w:val="4"/>
        </w:numPr>
        <w:jc w:val="both"/>
        <w:rPr>
          <w:rFonts w:ascii="Times New Roman" w:hAnsi="Times New Roman" w:cs="Times New Roman"/>
          <w:sz w:val="20"/>
          <w:szCs w:val="20"/>
        </w:rPr>
      </w:pPr>
      <w:r>
        <w:rPr>
          <w:rFonts w:ascii="Times New Roman" w:hAnsi="Times New Roman" w:cs="Times New Roman"/>
          <w:sz w:val="20"/>
          <w:szCs w:val="20"/>
        </w:rPr>
        <w:t>Suurimad investeeringuobjektid on:</w:t>
      </w:r>
    </w:p>
    <w:p w:rsidR="00581A43" w:rsidRDefault="00581A43">
      <w:pPr>
        <w:pStyle w:val="ListParagraph"/>
        <w:ind w:left="1121"/>
        <w:jc w:val="both"/>
        <w:rPr>
          <w:rFonts w:ascii="Times New Roman" w:hAnsi="Times New Roman" w:cs="Times New Roman"/>
          <w:sz w:val="20"/>
          <w:szCs w:val="20"/>
        </w:rPr>
      </w:pPr>
      <w:r>
        <w:rPr>
          <w:rFonts w:ascii="Times New Roman" w:hAnsi="Times New Roman" w:cs="Times New Roman"/>
          <w:sz w:val="20"/>
          <w:szCs w:val="20"/>
        </w:rPr>
        <w:t>Muuli ehitusprojekti koostamine 200 tuh eurot;</w:t>
      </w:r>
    </w:p>
    <w:p w:rsidR="00581A43" w:rsidRDefault="00581A43">
      <w:pPr>
        <w:pStyle w:val="ListParagraph"/>
        <w:ind w:left="1121"/>
        <w:jc w:val="both"/>
        <w:rPr>
          <w:rFonts w:ascii="Times New Roman" w:hAnsi="Times New Roman" w:cs="Times New Roman"/>
          <w:sz w:val="20"/>
          <w:szCs w:val="20"/>
        </w:rPr>
      </w:pPr>
      <w:r>
        <w:rPr>
          <w:rFonts w:ascii="Times New Roman" w:hAnsi="Times New Roman" w:cs="Times New Roman"/>
          <w:sz w:val="20"/>
          <w:szCs w:val="20"/>
        </w:rPr>
        <w:t>Teede pindamistööd 230 tuh eurot;</w:t>
      </w:r>
    </w:p>
    <w:p w:rsidR="00581A43" w:rsidRDefault="00581A43">
      <w:pPr>
        <w:pStyle w:val="ListParagraph"/>
        <w:ind w:left="1121"/>
        <w:jc w:val="both"/>
        <w:rPr>
          <w:rFonts w:ascii="Times New Roman" w:hAnsi="Times New Roman" w:cs="Times New Roman"/>
          <w:sz w:val="20"/>
          <w:szCs w:val="20"/>
        </w:rPr>
      </w:pPr>
      <w:r>
        <w:rPr>
          <w:rFonts w:ascii="Times New Roman" w:hAnsi="Times New Roman" w:cs="Times New Roman"/>
          <w:sz w:val="20"/>
          <w:szCs w:val="20"/>
        </w:rPr>
        <w:t>Multifunktsionaalsete minispordiväljakute projekteerimine ja ehitamine 259 tuh eurot;</w:t>
      </w:r>
    </w:p>
    <w:p w:rsidR="00581A43" w:rsidRDefault="00581A43">
      <w:pPr>
        <w:pStyle w:val="ListParagraph"/>
        <w:ind w:left="1121"/>
        <w:jc w:val="both"/>
        <w:rPr>
          <w:rFonts w:ascii="Times New Roman" w:hAnsi="Times New Roman" w:cs="Times New Roman"/>
          <w:color w:val="000000"/>
        </w:rPr>
      </w:pPr>
      <w:r>
        <w:rPr>
          <w:rFonts w:ascii="Times New Roman" w:hAnsi="Times New Roman" w:cs="Times New Roman"/>
          <w:color w:val="000000"/>
        </w:rPr>
        <w:t xml:space="preserve">Narva-Jõesuu linna valgustuse postide ja valgustite paigaldamine 60 tuh eurot.      </w:t>
      </w:r>
    </w:p>
    <w:p w:rsidR="00581A43" w:rsidRDefault="00581A43">
      <w:pPr>
        <w:numPr>
          <w:ilvl w:val="0"/>
          <w:numId w:val="6"/>
        </w:numPr>
        <w:jc w:val="both"/>
        <w:rPr>
          <w:rFonts w:ascii="Times New Roman" w:hAnsi="Times New Roman" w:cs="Times New Roman"/>
          <w:b/>
          <w:bCs/>
          <w:sz w:val="20"/>
          <w:szCs w:val="20"/>
        </w:rPr>
      </w:pPr>
      <w:r>
        <w:rPr>
          <w:rFonts w:ascii="Times New Roman" w:hAnsi="Times New Roman" w:cs="Times New Roman"/>
          <w:b/>
          <w:bCs/>
          <w:sz w:val="20"/>
          <w:szCs w:val="20"/>
        </w:rPr>
        <w:t>Põhivara soetuseks antav sihtfinantseerimisest</w:t>
      </w:r>
      <w:r>
        <w:rPr>
          <w:rFonts w:ascii="Times New Roman" w:hAnsi="Times New Roman" w:cs="Times New Roman"/>
          <w:sz w:val="20"/>
          <w:szCs w:val="20"/>
        </w:rPr>
        <w:t xml:space="preserve">, mis moodustab 7 % ehk 70 tuh eurot, sealhilgas </w:t>
      </w:r>
    </w:p>
    <w:p w:rsidR="00581A43" w:rsidRDefault="00581A43">
      <w:pPr>
        <w:jc w:val="both"/>
        <w:rPr>
          <w:rFonts w:ascii="Times New Roman" w:hAnsi="Times New Roman" w:cs="Times New Roman"/>
        </w:rPr>
      </w:pPr>
      <w:r>
        <w:rPr>
          <w:rFonts w:ascii="Times New Roman" w:hAnsi="Times New Roman" w:cs="Times New Roman"/>
          <w:b/>
          <w:bCs/>
          <w:sz w:val="20"/>
          <w:szCs w:val="20"/>
        </w:rPr>
        <w:t xml:space="preserve">                      </w:t>
      </w:r>
      <w:r>
        <w:rPr>
          <w:rFonts w:ascii="Times New Roman" w:hAnsi="Times New Roman" w:cs="Times New Roman"/>
        </w:rPr>
        <w:t>korteriühistute ja eramajade toetamiseks  30,0 tuf eurot;</w:t>
      </w:r>
    </w:p>
    <w:p w:rsidR="00581A43" w:rsidRDefault="00581A43">
      <w:pPr>
        <w:jc w:val="both"/>
        <w:rPr>
          <w:rFonts w:ascii="Times New Roman" w:hAnsi="Times New Roman" w:cs="Times New Roman"/>
          <w:sz w:val="20"/>
          <w:szCs w:val="20"/>
        </w:rPr>
      </w:pPr>
      <w:r>
        <w:rPr>
          <w:rFonts w:ascii="Times New Roman" w:hAnsi="Times New Roman" w:cs="Times New Roman"/>
        </w:rPr>
        <w:t xml:space="preserve">                    hajaasustuse programmi kasutajatele 10,0 tuh eurot (linna osalus).</w:t>
      </w:r>
    </w:p>
    <w:p w:rsidR="00581A43" w:rsidRDefault="00581A43">
      <w:pPr>
        <w:pStyle w:val="ListParagraph"/>
        <w:numPr>
          <w:ilvl w:val="0"/>
          <w:numId w:val="4"/>
        </w:numPr>
        <w:jc w:val="both"/>
        <w:rPr>
          <w:rFonts w:ascii="Times New Roman" w:hAnsi="Times New Roman" w:cs="Times New Roman"/>
          <w:sz w:val="20"/>
          <w:szCs w:val="20"/>
        </w:rPr>
      </w:pPr>
      <w:r>
        <w:rPr>
          <w:rFonts w:ascii="Times New Roman" w:hAnsi="Times New Roman" w:cs="Times New Roman"/>
          <w:b/>
          <w:bCs/>
          <w:sz w:val="20"/>
          <w:szCs w:val="20"/>
        </w:rPr>
        <w:t xml:space="preserve">Intressikuludest </w:t>
      </w:r>
      <w:r>
        <w:rPr>
          <w:rFonts w:ascii="Times New Roman" w:hAnsi="Times New Roman" w:cs="Times New Roman"/>
          <w:sz w:val="20"/>
          <w:szCs w:val="20"/>
        </w:rPr>
        <w:t>24 tuh eurot.</w:t>
      </w:r>
    </w:p>
    <w:p w:rsidR="00581A43" w:rsidRDefault="00581A43">
      <w:pPr>
        <w:pStyle w:val="ListParagraph"/>
        <w:ind w:left="401"/>
        <w:jc w:val="both"/>
        <w:rPr>
          <w:rFonts w:ascii="Times New Roman" w:hAnsi="Times New Roman" w:cs="Times New Roman"/>
        </w:rPr>
      </w:pPr>
      <w:r>
        <w:rPr>
          <w:noProof/>
          <w:lang w:eastAsia="et-EE"/>
        </w:rPr>
        <w:pict>
          <v:shape id="_x0000_s1027" type="#_x0000_t75" style="position:absolute;left:0;text-align:left;margin-left:-9pt;margin-top:8.7pt;width:498.75pt;height:323.25pt;z-index:251659264">
            <v:imagedata r:id="rId8" o:title=""/>
          </v:shape>
        </w:pict>
      </w:r>
    </w:p>
    <w:p w:rsidR="00581A43" w:rsidRDefault="00581A43">
      <w:pPr>
        <w:pStyle w:val="ListParagraph"/>
        <w:ind w:left="401"/>
        <w:jc w:val="both"/>
        <w:rPr>
          <w:rFonts w:ascii="Times New Roman" w:hAnsi="Times New Roman" w:cs="Times New Roman"/>
        </w:rPr>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ind w:left="401"/>
        <w:jc w:val="both"/>
      </w:pPr>
    </w:p>
    <w:p w:rsidR="00581A43" w:rsidRDefault="00581A43">
      <w:pPr>
        <w:pStyle w:val="ListParagraph"/>
        <w:spacing w:line="240" w:lineRule="auto"/>
        <w:ind w:left="0"/>
        <w:jc w:val="both"/>
        <w:rPr>
          <w:rFonts w:ascii="Times New Roman" w:hAnsi="Times New Roman" w:cs="Times New Roman"/>
          <w:sz w:val="20"/>
          <w:szCs w:val="20"/>
        </w:rPr>
      </w:pPr>
      <w:r>
        <w:rPr>
          <w:rFonts w:ascii="Times New Roman" w:hAnsi="Times New Roman" w:cs="Times New Roman"/>
          <w:b/>
          <w:bCs/>
          <w:sz w:val="20"/>
          <w:szCs w:val="20"/>
        </w:rPr>
        <w:t>Investeeringute ellu viimiseks</w:t>
      </w:r>
      <w:r>
        <w:rPr>
          <w:rFonts w:ascii="Times New Roman" w:hAnsi="Times New Roman" w:cs="Times New Roman"/>
          <w:sz w:val="20"/>
          <w:szCs w:val="20"/>
        </w:rPr>
        <w:t xml:space="preserve"> on plaanis kapitalirendilepingu sõlmimine uue bussi soetamiseks kohandatud sotsiaaltranspordi teenuse osutamiseks.</w:t>
      </w:r>
    </w:p>
    <w:p w:rsidR="00581A43" w:rsidRDefault="00581A43">
      <w:pPr>
        <w:pStyle w:val="ListParagraph"/>
        <w:ind w:left="0"/>
        <w:jc w:val="both"/>
      </w:pPr>
      <w:r>
        <w:rPr>
          <w:rFonts w:ascii="Times New Roman" w:hAnsi="Times New Roman" w:cs="Times New Roman"/>
          <w:b/>
          <w:bCs/>
          <w:sz w:val="20"/>
          <w:szCs w:val="20"/>
        </w:rPr>
        <w:t xml:space="preserve">Netovõlakoormust </w:t>
      </w:r>
      <w:r>
        <w:rPr>
          <w:rFonts w:ascii="Times New Roman" w:hAnsi="Times New Roman" w:cs="Times New Roman"/>
          <w:sz w:val="20"/>
          <w:szCs w:val="20"/>
        </w:rPr>
        <w:t>(kohustused miinus likviidne vara) 36%-le põhitegevuse tuludest ehk 2 735 tuh euroni. Seaduse kohaselt on linna ülempiiriks 60%, mis tähendab, et võimalused täiendavalt laenu võtta on piiratud ning investeeringute elluviimine sõltub saadavatest toetustest, põhivara müügist ja jooksva aasta omafinantseerimisvõimest</w:t>
      </w:r>
      <w:r>
        <w:t xml:space="preserve">. </w:t>
      </w:r>
    </w:p>
    <w:p w:rsidR="00581A43" w:rsidRDefault="00581A43">
      <w:pPr>
        <w:jc w:val="both"/>
        <w:rPr>
          <w:rFonts w:ascii="Times New Roman" w:hAnsi="Times New Roman" w:cs="Times New Roman"/>
          <w:sz w:val="20"/>
          <w:szCs w:val="20"/>
        </w:rPr>
      </w:pPr>
      <w:r>
        <w:rPr>
          <w:rFonts w:ascii="Times New Roman" w:hAnsi="Times New Roman" w:cs="Times New Roman"/>
          <w:sz w:val="20"/>
          <w:szCs w:val="20"/>
        </w:rPr>
        <w:t xml:space="preserve">Käesoleval aastal on linna </w:t>
      </w:r>
      <w:r>
        <w:rPr>
          <w:rFonts w:ascii="Times New Roman" w:hAnsi="Times New Roman" w:cs="Times New Roman"/>
          <w:b/>
          <w:bCs/>
          <w:sz w:val="20"/>
          <w:szCs w:val="20"/>
        </w:rPr>
        <w:t xml:space="preserve">omafinantseerimisvõime </w:t>
      </w:r>
      <w:r>
        <w:rPr>
          <w:rFonts w:ascii="Times New Roman" w:hAnsi="Times New Roman" w:cs="Times New Roman"/>
          <w:sz w:val="20"/>
          <w:szCs w:val="20"/>
        </w:rPr>
        <w:t xml:space="preserve">ehk põhitegevuse tulude ja põhitegevuse kulude vahe </w:t>
      </w:r>
      <w:r>
        <w:rPr>
          <w:rFonts w:ascii="Times New Roman" w:hAnsi="Times New Roman" w:cs="Times New Roman"/>
          <w:b/>
          <w:bCs/>
          <w:sz w:val="20"/>
          <w:szCs w:val="20"/>
        </w:rPr>
        <w:t>332 tuh eurot</w:t>
      </w:r>
      <w:r>
        <w:rPr>
          <w:rFonts w:ascii="Times New Roman" w:hAnsi="Times New Roman" w:cs="Times New Roman"/>
          <w:sz w:val="20"/>
          <w:szCs w:val="20"/>
        </w:rPr>
        <w:t xml:space="preserve"> ehk 4,2 % põhitegevuse tuludest, millest 38 tuh eurot suunatakse investeeringuteks, 24 tuhat eurot intressikulude ja 270 tuhat eurot laenumaksete katteks. </w:t>
      </w:r>
    </w:p>
    <w:p w:rsidR="00581A43" w:rsidRDefault="00581A43">
      <w:pPr>
        <w:spacing w:line="240" w:lineRule="auto"/>
        <w:jc w:val="both"/>
        <w:rPr>
          <w:rFonts w:ascii="Times New Roman" w:hAnsi="Times New Roman" w:cs="Times New Roman"/>
          <w:sz w:val="20"/>
          <w:szCs w:val="20"/>
        </w:rPr>
      </w:pPr>
      <w:r>
        <w:rPr>
          <w:rFonts w:ascii="Times New Roman" w:hAnsi="Times New Roman" w:cs="Times New Roman"/>
          <w:b/>
          <w:bCs/>
          <w:sz w:val="20"/>
          <w:szCs w:val="20"/>
        </w:rPr>
        <w:t>Likviidsete varade maht</w:t>
      </w:r>
      <w:r>
        <w:rPr>
          <w:rFonts w:ascii="Times New Roman" w:hAnsi="Times New Roman" w:cs="Times New Roman"/>
          <w:sz w:val="20"/>
          <w:szCs w:val="20"/>
        </w:rPr>
        <w:t xml:space="preserve"> </w:t>
      </w:r>
      <w:r>
        <w:rPr>
          <w:rFonts w:ascii="Times New Roman" w:hAnsi="Times New Roman" w:cs="Times New Roman"/>
          <w:b/>
          <w:bCs/>
          <w:sz w:val="20"/>
          <w:szCs w:val="20"/>
        </w:rPr>
        <w:t>kasvab</w:t>
      </w:r>
      <w:r>
        <w:rPr>
          <w:rFonts w:ascii="Times New Roman" w:hAnsi="Times New Roman" w:cs="Times New Roman"/>
          <w:sz w:val="20"/>
          <w:szCs w:val="20"/>
        </w:rPr>
        <w:t xml:space="preserve"> 535 tuhande euro võrra, ulatudes </w:t>
      </w:r>
      <w:r>
        <w:rPr>
          <w:rFonts w:ascii="Times New Roman" w:hAnsi="Times New Roman" w:cs="Times New Roman"/>
          <w:b/>
          <w:bCs/>
          <w:sz w:val="20"/>
          <w:szCs w:val="20"/>
        </w:rPr>
        <w:t>1747 tuh euroni</w:t>
      </w:r>
      <w:r>
        <w:rPr>
          <w:rFonts w:ascii="Times New Roman" w:hAnsi="Times New Roman" w:cs="Times New Roman"/>
          <w:sz w:val="20"/>
          <w:szCs w:val="20"/>
        </w:rPr>
        <w:t xml:space="preserve"> ehk 22% põhitegevuse tuludest. Likviidsetest varadest suunatakse vahendid investeerimisprojektide realiseerimiseks summas 967 tuh eurot. </w:t>
      </w:r>
    </w:p>
    <w:p w:rsidR="00581A43" w:rsidRDefault="00581A43">
      <w:pPr>
        <w:jc w:val="both"/>
        <w:rPr>
          <w:rFonts w:ascii="Times New Roman" w:hAnsi="Times New Roman" w:cs="Times New Roman"/>
          <w:i/>
          <w:iCs/>
          <w:sz w:val="20"/>
          <w:szCs w:val="20"/>
        </w:rPr>
      </w:pPr>
    </w:p>
    <w:sectPr w:rsidR="00581A43" w:rsidSect="00136835">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A43" w:rsidRDefault="00581A4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581A43" w:rsidRDefault="00581A4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A43" w:rsidRDefault="00581A4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581A43" w:rsidRDefault="00581A4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A43" w:rsidRDefault="00581A43">
    <w:pPr>
      <w:pStyle w:val="Header"/>
      <w:rPr>
        <w:rFonts w:ascii="Times New Roman" w:hAnsi="Times New Roman" w:cs="Times New Roman"/>
        <w:i/>
        <w:iCs/>
        <w:color w:val="FF0000"/>
      </w:rPr>
    </w:pPr>
  </w:p>
  <w:p w:rsidR="00581A43" w:rsidRDefault="00581A43">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627D"/>
    <w:multiLevelType w:val="hybridMultilevel"/>
    <w:tmpl w:val="38D23246"/>
    <w:lvl w:ilvl="0" w:tplc="0425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FE87290"/>
    <w:multiLevelType w:val="hybridMultilevel"/>
    <w:tmpl w:val="0B761A5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45F2252"/>
    <w:multiLevelType w:val="hybridMultilevel"/>
    <w:tmpl w:val="69184842"/>
    <w:lvl w:ilvl="0" w:tplc="888A82AC">
      <w:start w:val="2017"/>
      <w:numFmt w:val="bullet"/>
      <w:lvlText w:val="-"/>
      <w:lvlJc w:val="left"/>
      <w:pPr>
        <w:tabs>
          <w:tab w:val="num" w:pos="960"/>
        </w:tabs>
        <w:ind w:left="960" w:hanging="360"/>
      </w:pPr>
      <w:rPr>
        <w:rFonts w:ascii="Times New Roman" w:eastAsia="Times New Roman" w:hAnsi="Times New Roman" w:hint="default"/>
      </w:rPr>
    </w:lvl>
    <w:lvl w:ilvl="1" w:tplc="04090003">
      <w:start w:val="1"/>
      <w:numFmt w:val="bullet"/>
      <w:lvlText w:val="o"/>
      <w:lvlJc w:val="left"/>
      <w:pPr>
        <w:tabs>
          <w:tab w:val="num" w:pos="1680"/>
        </w:tabs>
        <w:ind w:left="1680" w:hanging="360"/>
      </w:pPr>
      <w:rPr>
        <w:rFonts w:ascii="Courier New" w:hAnsi="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3">
    <w:nsid w:val="1A642479"/>
    <w:multiLevelType w:val="hybridMultilevel"/>
    <w:tmpl w:val="6688C77A"/>
    <w:lvl w:ilvl="0" w:tplc="E5347EF2">
      <w:numFmt w:val="bullet"/>
      <w:lvlText w:val="-"/>
      <w:lvlJc w:val="left"/>
      <w:pPr>
        <w:tabs>
          <w:tab w:val="num" w:pos="960"/>
        </w:tabs>
        <w:ind w:left="960" w:hanging="360"/>
      </w:pPr>
      <w:rPr>
        <w:rFonts w:ascii="Times New Roman" w:eastAsia="Times New Roman" w:hAnsi="Times New Roman" w:hint="default"/>
      </w:rPr>
    </w:lvl>
    <w:lvl w:ilvl="1" w:tplc="04090003">
      <w:start w:val="1"/>
      <w:numFmt w:val="bullet"/>
      <w:lvlText w:val="o"/>
      <w:lvlJc w:val="left"/>
      <w:pPr>
        <w:tabs>
          <w:tab w:val="num" w:pos="1680"/>
        </w:tabs>
        <w:ind w:left="1680" w:hanging="360"/>
      </w:pPr>
      <w:rPr>
        <w:rFonts w:ascii="Courier New" w:hAnsi="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4">
    <w:nsid w:val="21F8506F"/>
    <w:multiLevelType w:val="hybridMultilevel"/>
    <w:tmpl w:val="F774CCF2"/>
    <w:lvl w:ilvl="0" w:tplc="0425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40A70AB3"/>
    <w:multiLevelType w:val="hybridMultilevel"/>
    <w:tmpl w:val="4E26908A"/>
    <w:lvl w:ilvl="0" w:tplc="833E8560">
      <w:start w:val="1"/>
      <w:numFmt w:val="decimal"/>
      <w:lvlText w:val="%1)"/>
      <w:lvlJc w:val="left"/>
      <w:pPr>
        <w:tabs>
          <w:tab w:val="num" w:pos="420"/>
        </w:tabs>
        <w:ind w:left="420" w:hanging="360"/>
      </w:pPr>
      <w:rPr>
        <w:rFonts w:ascii="Times New Roman" w:hAnsi="Times New Roman" w:cs="Times New Roman" w:hint="default"/>
      </w:rPr>
    </w:lvl>
    <w:lvl w:ilvl="1" w:tplc="04090019">
      <w:start w:val="1"/>
      <w:numFmt w:val="lowerLetter"/>
      <w:lvlText w:val="%2."/>
      <w:lvlJc w:val="left"/>
      <w:pPr>
        <w:tabs>
          <w:tab w:val="num" w:pos="1140"/>
        </w:tabs>
        <w:ind w:left="1140" w:hanging="360"/>
      </w:pPr>
      <w:rPr>
        <w:rFonts w:ascii="Times New Roman" w:hAnsi="Times New Roman" w:cs="Times New Roman"/>
      </w:rPr>
    </w:lvl>
    <w:lvl w:ilvl="2" w:tplc="0409001B">
      <w:start w:val="1"/>
      <w:numFmt w:val="lowerRoman"/>
      <w:lvlText w:val="%3."/>
      <w:lvlJc w:val="right"/>
      <w:pPr>
        <w:tabs>
          <w:tab w:val="num" w:pos="1860"/>
        </w:tabs>
        <w:ind w:left="1860" w:hanging="180"/>
      </w:pPr>
      <w:rPr>
        <w:rFonts w:ascii="Times New Roman" w:hAnsi="Times New Roman" w:cs="Times New Roman"/>
      </w:rPr>
    </w:lvl>
    <w:lvl w:ilvl="3" w:tplc="0409000F">
      <w:start w:val="1"/>
      <w:numFmt w:val="decimal"/>
      <w:lvlText w:val="%4."/>
      <w:lvlJc w:val="left"/>
      <w:pPr>
        <w:tabs>
          <w:tab w:val="num" w:pos="2580"/>
        </w:tabs>
        <w:ind w:left="2580" w:hanging="360"/>
      </w:pPr>
      <w:rPr>
        <w:rFonts w:ascii="Times New Roman" w:hAnsi="Times New Roman" w:cs="Times New Roman"/>
      </w:rPr>
    </w:lvl>
    <w:lvl w:ilvl="4" w:tplc="04090019">
      <w:start w:val="1"/>
      <w:numFmt w:val="lowerLetter"/>
      <w:lvlText w:val="%5."/>
      <w:lvlJc w:val="left"/>
      <w:pPr>
        <w:tabs>
          <w:tab w:val="num" w:pos="3300"/>
        </w:tabs>
        <w:ind w:left="3300" w:hanging="360"/>
      </w:pPr>
      <w:rPr>
        <w:rFonts w:ascii="Times New Roman" w:hAnsi="Times New Roman" w:cs="Times New Roman"/>
      </w:rPr>
    </w:lvl>
    <w:lvl w:ilvl="5" w:tplc="0409001B">
      <w:start w:val="1"/>
      <w:numFmt w:val="lowerRoman"/>
      <w:lvlText w:val="%6."/>
      <w:lvlJc w:val="right"/>
      <w:pPr>
        <w:tabs>
          <w:tab w:val="num" w:pos="4020"/>
        </w:tabs>
        <w:ind w:left="4020" w:hanging="180"/>
      </w:pPr>
      <w:rPr>
        <w:rFonts w:ascii="Times New Roman" w:hAnsi="Times New Roman" w:cs="Times New Roman"/>
      </w:rPr>
    </w:lvl>
    <w:lvl w:ilvl="6" w:tplc="0409000F">
      <w:start w:val="1"/>
      <w:numFmt w:val="decimal"/>
      <w:lvlText w:val="%7."/>
      <w:lvlJc w:val="left"/>
      <w:pPr>
        <w:tabs>
          <w:tab w:val="num" w:pos="4740"/>
        </w:tabs>
        <w:ind w:left="4740" w:hanging="360"/>
      </w:pPr>
      <w:rPr>
        <w:rFonts w:ascii="Times New Roman" w:hAnsi="Times New Roman" w:cs="Times New Roman"/>
      </w:rPr>
    </w:lvl>
    <w:lvl w:ilvl="7" w:tplc="04090019">
      <w:start w:val="1"/>
      <w:numFmt w:val="lowerLetter"/>
      <w:lvlText w:val="%8."/>
      <w:lvlJc w:val="left"/>
      <w:pPr>
        <w:tabs>
          <w:tab w:val="num" w:pos="5460"/>
        </w:tabs>
        <w:ind w:left="5460" w:hanging="360"/>
      </w:pPr>
      <w:rPr>
        <w:rFonts w:ascii="Times New Roman" w:hAnsi="Times New Roman" w:cs="Times New Roman"/>
      </w:rPr>
    </w:lvl>
    <w:lvl w:ilvl="8" w:tplc="0409001B">
      <w:start w:val="1"/>
      <w:numFmt w:val="lowerRoman"/>
      <w:lvlText w:val="%9."/>
      <w:lvlJc w:val="right"/>
      <w:pPr>
        <w:tabs>
          <w:tab w:val="num" w:pos="6180"/>
        </w:tabs>
        <w:ind w:left="6180" w:hanging="180"/>
      </w:pPr>
      <w:rPr>
        <w:rFonts w:ascii="Times New Roman" w:hAnsi="Times New Roman" w:cs="Times New Roman"/>
      </w:rPr>
    </w:lvl>
  </w:abstractNum>
  <w:abstractNum w:abstractNumId="6">
    <w:nsid w:val="44D571D1"/>
    <w:multiLevelType w:val="hybridMultilevel"/>
    <w:tmpl w:val="69BE0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205C26"/>
    <w:multiLevelType w:val="hybridMultilevel"/>
    <w:tmpl w:val="311669FA"/>
    <w:lvl w:ilvl="0" w:tplc="64DE21E0">
      <w:start w:val="1"/>
      <w:numFmt w:val="bullet"/>
      <w:lvlText w:val=""/>
      <w:lvlJc w:val="left"/>
      <w:pPr>
        <w:ind w:left="360" w:hanging="360"/>
      </w:pPr>
      <w:rPr>
        <w:rFonts w:ascii="Symbol" w:hAnsi="Symbol" w:hint="default"/>
        <w:color w:val="auto"/>
      </w:rPr>
    </w:lvl>
    <w:lvl w:ilvl="1" w:tplc="47782B16">
      <w:start w:val="1"/>
      <w:numFmt w:val="bullet"/>
      <w:lvlText w:val="o"/>
      <w:lvlJc w:val="left"/>
      <w:pPr>
        <w:ind w:left="1080" w:hanging="360"/>
      </w:pPr>
      <w:rPr>
        <w:rFonts w:ascii="Courier New" w:hAnsi="Courier New" w:hint="default"/>
        <w:color w:val="auto"/>
      </w:rPr>
    </w:lvl>
    <w:lvl w:ilvl="2" w:tplc="62780720">
      <w:start w:val="1"/>
      <w:numFmt w:val="bullet"/>
      <w:lvlText w:val=""/>
      <w:lvlJc w:val="left"/>
      <w:pPr>
        <w:ind w:left="1800" w:hanging="360"/>
      </w:pPr>
      <w:rPr>
        <w:rFonts w:ascii="Wingdings" w:hAnsi="Wingdings" w:hint="default"/>
        <w:color w:val="auto"/>
      </w:rPr>
    </w:lvl>
    <w:lvl w:ilvl="3" w:tplc="0F1A9A00">
      <w:start w:val="1"/>
      <w:numFmt w:val="bullet"/>
      <w:lvlText w:val=""/>
      <w:lvlJc w:val="left"/>
      <w:pPr>
        <w:ind w:left="2520" w:hanging="360"/>
      </w:pPr>
      <w:rPr>
        <w:rFonts w:ascii="Symbol" w:hAnsi="Symbol" w:hint="default"/>
        <w:color w:val="auto"/>
      </w:rPr>
    </w:lvl>
    <w:lvl w:ilvl="4" w:tplc="04250003">
      <w:start w:val="1"/>
      <w:numFmt w:val="bullet"/>
      <w:lvlText w:val="o"/>
      <w:lvlJc w:val="left"/>
      <w:pPr>
        <w:ind w:left="3240" w:hanging="360"/>
      </w:pPr>
      <w:rPr>
        <w:rFonts w:ascii="Courier New" w:hAnsi="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hint="default"/>
      </w:rPr>
    </w:lvl>
    <w:lvl w:ilvl="8" w:tplc="04250005">
      <w:start w:val="1"/>
      <w:numFmt w:val="bullet"/>
      <w:lvlText w:val=""/>
      <w:lvlJc w:val="left"/>
      <w:pPr>
        <w:ind w:left="6120" w:hanging="360"/>
      </w:pPr>
      <w:rPr>
        <w:rFonts w:ascii="Wingdings" w:hAnsi="Wingdings" w:hint="default"/>
      </w:rPr>
    </w:lvl>
  </w:abstractNum>
  <w:abstractNum w:abstractNumId="8">
    <w:nsid w:val="4A1F4174"/>
    <w:multiLevelType w:val="hybridMultilevel"/>
    <w:tmpl w:val="8A16F4A8"/>
    <w:lvl w:ilvl="0" w:tplc="04250001">
      <w:start w:val="1"/>
      <w:numFmt w:val="bullet"/>
      <w:lvlText w:val=""/>
      <w:lvlJc w:val="left"/>
      <w:pPr>
        <w:ind w:left="761" w:hanging="360"/>
      </w:pPr>
      <w:rPr>
        <w:rFonts w:ascii="Symbol" w:hAnsi="Symbol" w:hint="default"/>
      </w:rPr>
    </w:lvl>
    <w:lvl w:ilvl="1" w:tplc="04250003">
      <w:start w:val="1"/>
      <w:numFmt w:val="bullet"/>
      <w:lvlText w:val="o"/>
      <w:lvlJc w:val="left"/>
      <w:pPr>
        <w:ind w:left="1481" w:hanging="360"/>
      </w:pPr>
      <w:rPr>
        <w:rFonts w:ascii="Courier New" w:hAnsi="Courier New" w:hint="default"/>
      </w:rPr>
    </w:lvl>
    <w:lvl w:ilvl="2" w:tplc="04250005">
      <w:start w:val="1"/>
      <w:numFmt w:val="bullet"/>
      <w:lvlText w:val=""/>
      <w:lvlJc w:val="left"/>
      <w:pPr>
        <w:ind w:left="2201" w:hanging="360"/>
      </w:pPr>
      <w:rPr>
        <w:rFonts w:ascii="Wingdings" w:hAnsi="Wingdings" w:hint="default"/>
      </w:rPr>
    </w:lvl>
    <w:lvl w:ilvl="3" w:tplc="04250001">
      <w:start w:val="1"/>
      <w:numFmt w:val="bullet"/>
      <w:lvlText w:val=""/>
      <w:lvlJc w:val="left"/>
      <w:pPr>
        <w:ind w:left="2921" w:hanging="360"/>
      </w:pPr>
      <w:rPr>
        <w:rFonts w:ascii="Symbol" w:hAnsi="Symbol" w:hint="default"/>
      </w:rPr>
    </w:lvl>
    <w:lvl w:ilvl="4" w:tplc="04250003">
      <w:start w:val="1"/>
      <w:numFmt w:val="bullet"/>
      <w:lvlText w:val="o"/>
      <w:lvlJc w:val="left"/>
      <w:pPr>
        <w:ind w:left="3641" w:hanging="360"/>
      </w:pPr>
      <w:rPr>
        <w:rFonts w:ascii="Courier New" w:hAnsi="Courier New" w:hint="default"/>
      </w:rPr>
    </w:lvl>
    <w:lvl w:ilvl="5" w:tplc="04250005">
      <w:start w:val="1"/>
      <w:numFmt w:val="bullet"/>
      <w:lvlText w:val=""/>
      <w:lvlJc w:val="left"/>
      <w:pPr>
        <w:ind w:left="4361" w:hanging="360"/>
      </w:pPr>
      <w:rPr>
        <w:rFonts w:ascii="Wingdings" w:hAnsi="Wingdings" w:hint="default"/>
      </w:rPr>
    </w:lvl>
    <w:lvl w:ilvl="6" w:tplc="04250001">
      <w:start w:val="1"/>
      <w:numFmt w:val="bullet"/>
      <w:lvlText w:val=""/>
      <w:lvlJc w:val="left"/>
      <w:pPr>
        <w:ind w:left="5081" w:hanging="360"/>
      </w:pPr>
      <w:rPr>
        <w:rFonts w:ascii="Symbol" w:hAnsi="Symbol" w:hint="default"/>
      </w:rPr>
    </w:lvl>
    <w:lvl w:ilvl="7" w:tplc="04250003">
      <w:start w:val="1"/>
      <w:numFmt w:val="bullet"/>
      <w:lvlText w:val="o"/>
      <w:lvlJc w:val="left"/>
      <w:pPr>
        <w:ind w:left="5801" w:hanging="360"/>
      </w:pPr>
      <w:rPr>
        <w:rFonts w:ascii="Courier New" w:hAnsi="Courier New" w:hint="default"/>
      </w:rPr>
    </w:lvl>
    <w:lvl w:ilvl="8" w:tplc="04250005">
      <w:start w:val="1"/>
      <w:numFmt w:val="bullet"/>
      <w:lvlText w:val=""/>
      <w:lvlJc w:val="left"/>
      <w:pPr>
        <w:ind w:left="6521" w:hanging="360"/>
      </w:pPr>
      <w:rPr>
        <w:rFonts w:ascii="Wingdings" w:hAnsi="Wingdings" w:hint="default"/>
      </w:rPr>
    </w:lvl>
  </w:abstractNum>
  <w:abstractNum w:abstractNumId="9">
    <w:nsid w:val="4F204EB8"/>
    <w:multiLevelType w:val="hybridMultilevel"/>
    <w:tmpl w:val="5B00714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0">
    <w:nsid w:val="58945EDC"/>
    <w:multiLevelType w:val="hybridMultilevel"/>
    <w:tmpl w:val="B3903FC2"/>
    <w:lvl w:ilvl="0" w:tplc="0409000F">
      <w:start w:val="1"/>
      <w:numFmt w:val="decimal"/>
      <w:lvlText w:val="%1."/>
      <w:lvlJc w:val="left"/>
      <w:pPr>
        <w:tabs>
          <w:tab w:val="num" w:pos="720"/>
        </w:tabs>
        <w:ind w:left="720" w:hanging="360"/>
      </w:pPr>
      <w:rPr>
        <w:rFonts w:ascii="Times New Roman" w:hAnsi="Times New Roman" w:cs="Times New Roman"/>
      </w:rPr>
    </w:lvl>
    <w:lvl w:ilvl="1" w:tplc="56C407BC">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58BF5D86"/>
    <w:multiLevelType w:val="hybridMultilevel"/>
    <w:tmpl w:val="5164B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0556410"/>
    <w:multiLevelType w:val="hybridMultilevel"/>
    <w:tmpl w:val="92762D28"/>
    <w:lvl w:ilvl="0" w:tplc="888A82AC">
      <w:start w:val="2017"/>
      <w:numFmt w:val="bullet"/>
      <w:lvlText w:val="-"/>
      <w:lvlJc w:val="left"/>
      <w:pPr>
        <w:tabs>
          <w:tab w:val="num" w:pos="960"/>
        </w:tabs>
        <w:ind w:left="960" w:hanging="360"/>
      </w:pPr>
      <w:rPr>
        <w:rFonts w:ascii="Times New Roman" w:eastAsia="Times New Roman" w:hAnsi="Times New Roman" w:hint="default"/>
      </w:rPr>
    </w:lvl>
    <w:lvl w:ilvl="1" w:tplc="04090003">
      <w:start w:val="1"/>
      <w:numFmt w:val="bullet"/>
      <w:lvlText w:val="o"/>
      <w:lvlJc w:val="left"/>
      <w:pPr>
        <w:tabs>
          <w:tab w:val="num" w:pos="1680"/>
        </w:tabs>
        <w:ind w:left="1680" w:hanging="360"/>
      </w:pPr>
      <w:rPr>
        <w:rFonts w:ascii="Courier New" w:hAnsi="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13">
    <w:nsid w:val="72550588"/>
    <w:multiLevelType w:val="hybridMultilevel"/>
    <w:tmpl w:val="DDB8551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11"/>
  </w:num>
  <w:num w:numId="6">
    <w:abstractNumId w:val="6"/>
  </w:num>
  <w:num w:numId="7">
    <w:abstractNumId w:val="12"/>
  </w:num>
  <w:num w:numId="8">
    <w:abstractNumId w:val="1"/>
  </w:num>
  <w:num w:numId="9">
    <w:abstractNumId w:val="5"/>
  </w:num>
  <w:num w:numId="10">
    <w:abstractNumId w:val="2"/>
  </w:num>
  <w:num w:numId="11">
    <w:abstractNumId w:val="4"/>
  </w:num>
  <w:num w:numId="12">
    <w:abstractNumId w:val="0"/>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835"/>
    <w:rsid w:val="00136835"/>
    <w:rsid w:val="005033B8"/>
    <w:rsid w:val="00581A43"/>
    <w:rsid w:val="00BB5C9D"/>
    <w:rsid w:val="00C51350"/>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t-EE" w:eastAsia="et-E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B5C9D"/>
    <w:pPr>
      <w:spacing w:after="200" w:line="276" w:lineRule="auto"/>
    </w:pPr>
    <w:rPr>
      <w:rFonts w:cs="Calibri"/>
      <w:lang w:eastAsia="en-US"/>
    </w:rPr>
  </w:style>
  <w:style w:type="paragraph" w:styleId="Heading1">
    <w:name w:val="heading 1"/>
    <w:basedOn w:val="Normal"/>
    <w:next w:val="Normal"/>
    <w:link w:val="Heading1Char"/>
    <w:uiPriority w:val="99"/>
    <w:qFormat/>
    <w:rsid w:val="00BB5C9D"/>
    <w:pPr>
      <w:keepNext/>
      <w:keepLines/>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BB5C9D"/>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5C9D"/>
    <w:rPr>
      <w:rFonts w:ascii="Cambria" w:hAnsi="Cambria" w:cs="Cambria"/>
      <w:b/>
      <w:bCs/>
      <w:color w:val="auto"/>
      <w:sz w:val="28"/>
      <w:szCs w:val="28"/>
    </w:rPr>
  </w:style>
  <w:style w:type="character" w:customStyle="1" w:styleId="Heading2Char">
    <w:name w:val="Heading 2 Char"/>
    <w:basedOn w:val="DefaultParagraphFont"/>
    <w:link w:val="Heading2"/>
    <w:uiPriority w:val="99"/>
    <w:locked/>
    <w:rsid w:val="00BB5C9D"/>
    <w:rPr>
      <w:rFonts w:ascii="Cambria" w:hAnsi="Cambria" w:cs="Cambria"/>
      <w:b/>
      <w:bCs/>
      <w:i/>
      <w:iCs/>
      <w:sz w:val="28"/>
      <w:szCs w:val="28"/>
      <w:lang w:val="et-EE" w:eastAsia="en-US"/>
    </w:rPr>
  </w:style>
  <w:style w:type="paragraph" w:styleId="ListParagraph">
    <w:name w:val="List Paragraph"/>
    <w:basedOn w:val="Normal"/>
    <w:uiPriority w:val="99"/>
    <w:qFormat/>
    <w:rsid w:val="00BB5C9D"/>
    <w:pPr>
      <w:ind w:left="720"/>
    </w:pPr>
  </w:style>
  <w:style w:type="paragraph" w:styleId="Header">
    <w:name w:val="header"/>
    <w:basedOn w:val="Normal"/>
    <w:link w:val="HeaderChar"/>
    <w:uiPriority w:val="99"/>
    <w:rsid w:val="00BB5C9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B5C9D"/>
    <w:rPr>
      <w:rFonts w:ascii="Times New Roman" w:hAnsi="Times New Roman" w:cs="Times New Roman"/>
    </w:rPr>
  </w:style>
  <w:style w:type="paragraph" w:styleId="FootnoteText">
    <w:name w:val="footnote text"/>
    <w:basedOn w:val="Normal"/>
    <w:link w:val="FootnoteTextChar"/>
    <w:uiPriority w:val="99"/>
    <w:rsid w:val="00BB5C9D"/>
    <w:pPr>
      <w:spacing w:after="0" w:line="240" w:lineRule="auto"/>
    </w:pPr>
    <w:rPr>
      <w:sz w:val="20"/>
      <w:szCs w:val="20"/>
    </w:rPr>
  </w:style>
  <w:style w:type="character" w:customStyle="1" w:styleId="FootnoteTextChar">
    <w:name w:val="Footnote Text Char"/>
    <w:basedOn w:val="DefaultParagraphFont"/>
    <w:link w:val="FootnoteText"/>
    <w:uiPriority w:val="99"/>
    <w:locked/>
    <w:rsid w:val="00BB5C9D"/>
    <w:rPr>
      <w:rFonts w:ascii="Times New Roman" w:hAnsi="Times New Roman" w:cs="Times New Roman"/>
      <w:sz w:val="20"/>
      <w:szCs w:val="20"/>
    </w:rPr>
  </w:style>
  <w:style w:type="character" w:styleId="FootnoteReference">
    <w:name w:val="footnote reference"/>
    <w:basedOn w:val="DefaultParagraphFont"/>
    <w:uiPriority w:val="99"/>
    <w:rsid w:val="00BB5C9D"/>
    <w:rPr>
      <w:rFonts w:ascii="Times New Roman" w:hAnsi="Times New Roman" w:cs="Times New Roman"/>
      <w:vertAlign w:val="superscript"/>
    </w:rPr>
  </w:style>
  <w:style w:type="paragraph" w:customStyle="1" w:styleId="Pealkiri">
    <w:name w:val="Pealkiri"/>
    <w:basedOn w:val="Heading1"/>
    <w:uiPriority w:val="99"/>
    <w:rsid w:val="00BB5C9D"/>
    <w:rPr>
      <w:rFonts w:ascii="Calibri" w:hAnsi="Calibri" w:cs="Calibri"/>
      <w:sz w:val="24"/>
      <w:szCs w:val="24"/>
    </w:rPr>
  </w:style>
  <w:style w:type="paragraph" w:customStyle="1" w:styleId="Joonis">
    <w:name w:val="Joonis"/>
    <w:basedOn w:val="Normal"/>
    <w:uiPriority w:val="99"/>
    <w:rsid w:val="00BB5C9D"/>
    <w:pPr>
      <w:jc w:val="both"/>
    </w:pPr>
    <w:rPr>
      <w:b/>
      <w:bCs/>
    </w:rPr>
  </w:style>
  <w:style w:type="character" w:customStyle="1" w:styleId="PealkiriChar">
    <w:name w:val="Pealkiri Char"/>
    <w:basedOn w:val="Heading1Char"/>
    <w:uiPriority w:val="99"/>
    <w:rsid w:val="00BB5C9D"/>
    <w:rPr>
      <w:sz w:val="24"/>
      <w:szCs w:val="24"/>
    </w:rPr>
  </w:style>
  <w:style w:type="character" w:customStyle="1" w:styleId="JoonisChar">
    <w:name w:val="Joonis Char"/>
    <w:basedOn w:val="DefaultParagraphFont"/>
    <w:uiPriority w:val="99"/>
    <w:rsid w:val="00BB5C9D"/>
    <w:rPr>
      <w:rFonts w:ascii="Times New Roman" w:hAnsi="Times New Roman" w:cs="Times New Roman"/>
      <w:b/>
      <w:bCs/>
      <w:color w:val="auto"/>
    </w:rPr>
  </w:style>
  <w:style w:type="paragraph" w:styleId="BalloonText">
    <w:name w:val="Balloon Text"/>
    <w:basedOn w:val="Normal"/>
    <w:link w:val="BalloonTextChar"/>
    <w:uiPriority w:val="99"/>
    <w:rsid w:val="00BB5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B5C9D"/>
    <w:rPr>
      <w:rFonts w:ascii="Tahoma" w:hAnsi="Tahoma" w:cs="Tahoma"/>
      <w:sz w:val="16"/>
      <w:szCs w:val="16"/>
    </w:rPr>
  </w:style>
  <w:style w:type="paragraph" w:styleId="Footer">
    <w:name w:val="footer"/>
    <w:basedOn w:val="Normal"/>
    <w:link w:val="FooterChar"/>
    <w:uiPriority w:val="99"/>
    <w:rsid w:val="00BB5C9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B5C9D"/>
    <w:rPr>
      <w:rFonts w:ascii="Times New Roman" w:hAnsi="Times New Roman" w:cs="Times New Roman"/>
    </w:rPr>
  </w:style>
  <w:style w:type="paragraph" w:styleId="BodyText">
    <w:name w:val="Body Text"/>
    <w:aliases w:val="Body,Tekst,Body1,Tekst1,Body2,Tekst2,Body3,Tekst3,Tekst 12"/>
    <w:basedOn w:val="Normal"/>
    <w:link w:val="BodyTextChar"/>
    <w:uiPriority w:val="99"/>
    <w:rsid w:val="00BB5C9D"/>
    <w:pPr>
      <w:autoSpaceDE w:val="0"/>
      <w:autoSpaceDN w:val="0"/>
      <w:adjustRightInd w:val="0"/>
      <w:spacing w:after="0" w:line="240" w:lineRule="auto"/>
      <w:jc w:val="both"/>
    </w:pPr>
    <w:rPr>
      <w:sz w:val="20"/>
      <w:szCs w:val="20"/>
    </w:rPr>
  </w:style>
  <w:style w:type="character" w:customStyle="1" w:styleId="BodyTextChar">
    <w:name w:val="Body Text Char"/>
    <w:aliases w:val="Body Char,Tekst Char,Body1 Char,Tekst1 Char,Body2 Char,Tekst2 Char,Body3 Char,Tekst3 Char,Tekst 12 Char"/>
    <w:basedOn w:val="DefaultParagraphFont"/>
    <w:link w:val="BodyText"/>
    <w:uiPriority w:val="99"/>
    <w:locked/>
    <w:rsid w:val="00BB5C9D"/>
    <w:rPr>
      <w:rFonts w:ascii="Calibri" w:hAnsi="Calibri" w:cs="Calibri"/>
      <w:lang w:val="et-EE" w:eastAsia="en-US"/>
    </w:rPr>
  </w:style>
  <w:style w:type="paragraph" w:styleId="BodyText2">
    <w:name w:val="Body Text 2"/>
    <w:basedOn w:val="Normal"/>
    <w:link w:val="BodyText2Char"/>
    <w:uiPriority w:val="99"/>
    <w:rsid w:val="00BB5C9D"/>
    <w:pPr>
      <w:spacing w:line="240" w:lineRule="auto"/>
      <w:jc w:val="both"/>
    </w:pPr>
    <w:rPr>
      <w:b/>
      <w:bCs/>
      <w:sz w:val="20"/>
      <w:szCs w:val="20"/>
    </w:rPr>
  </w:style>
  <w:style w:type="character" w:customStyle="1" w:styleId="BodyText2Char">
    <w:name w:val="Body Text 2 Char"/>
    <w:basedOn w:val="DefaultParagraphFont"/>
    <w:link w:val="BodyText2"/>
    <w:uiPriority w:val="99"/>
    <w:locked/>
    <w:rsid w:val="00BB5C9D"/>
    <w:rPr>
      <w:rFonts w:ascii="Calibri" w:hAnsi="Calibri" w:cs="Calibri"/>
      <w:lang w:val="et-E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866</Words>
  <Characters>5025</Characters>
  <Application>Microsoft Office Outlook</Application>
  <DocSecurity>0</DocSecurity>
  <Lines>0</Lines>
  <Paragraphs>0</Paragraphs>
  <ScaleCrop>false</ScaleCrop>
  <Company>Rahandusministeerium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Lühiülevaade Narva-Jõesuu linna 2019</dc:title>
  <dc:subject/>
  <dc:creator>pirgit.lohk</dc:creator>
  <cp:keywords/>
  <dc:description/>
  <cp:lastModifiedBy>Alar</cp:lastModifiedBy>
  <cp:revision>2</cp:revision>
  <cp:lastPrinted>2017-03-23T10:29:00Z</cp:lastPrinted>
  <dcterms:created xsi:type="dcterms:W3CDTF">2020-03-09T14:31:00Z</dcterms:created>
  <dcterms:modified xsi:type="dcterms:W3CDTF">2020-03-09T14:31:00Z</dcterms:modified>
</cp:coreProperties>
</file>